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5CF18">
      <w:pPr>
        <w:pStyle w:val="54"/>
        <w:adjustRightInd w:val="0"/>
        <w:snapToGrid w:val="0"/>
        <w:spacing w:before="240" w:beforeLines="0" w:after="240" w:afterLines="0" w:line="288" w:lineRule="auto"/>
        <w:jc w:val="both"/>
        <w:rPr>
          <w:rFonts w:ascii="Times New Roman" w:hAnsi="Times New Roman" w:eastAsiaTheme="minorEastAsia"/>
          <w:b w:val="0"/>
          <w:sz w:val="21"/>
          <w:szCs w:val="21"/>
        </w:rPr>
      </w:pPr>
      <w:r>
        <w:rPr>
          <w:rFonts w:hint="eastAsia" w:ascii="Times New Roman" w:hAnsi="Times New Roman" w:eastAsiaTheme="minorEastAsia"/>
          <w:bCs/>
          <w:sz w:val="21"/>
          <w:szCs w:val="21"/>
        </w:rPr>
        <w:t xml:space="preserve">Supplementary Table 1. </w:t>
      </w:r>
      <w:r>
        <w:rPr>
          <w:rFonts w:hint="eastAsia" w:ascii="Times New Roman" w:hAnsi="Times New Roman" w:eastAsiaTheme="minorEastAsia"/>
          <w:b w:val="0"/>
          <w:sz w:val="21"/>
          <w:szCs w:val="21"/>
        </w:rPr>
        <w:t xml:space="preserve">GSEA analysis classical datasets definition from Molecular Signatures Database (MSigDB) </w:t>
      </w:r>
    </w:p>
    <w:tbl>
      <w:tblPr>
        <w:tblStyle w:val="13"/>
        <w:tblpPr w:leftFromText="180" w:rightFromText="180" w:vertAnchor="text" w:horzAnchor="page" w:tblpX="2069" w:tblpY="54"/>
        <w:tblOverlap w:val="never"/>
        <w:tblW w:w="45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3048"/>
        <w:gridCol w:w="2830"/>
      </w:tblGrid>
      <w:tr w14:paraId="6D8C1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E269958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MSigDB-database</w:t>
            </w:r>
          </w:p>
        </w:tc>
        <w:tc>
          <w:tcPr>
            <w:tcW w:w="204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D5A5B4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Database_full_name</w:t>
            </w:r>
          </w:p>
        </w:tc>
        <w:tc>
          <w:tcPr>
            <w:tcW w:w="19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442B0F9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Data_set_definition</w:t>
            </w:r>
          </w:p>
        </w:tc>
      </w:tr>
      <w:tr w14:paraId="63B7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4E04C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 xml:space="preserve">C2 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CDA4A5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 xml:space="preserve">human curated datasets from Molecular Signatures Database (MSigDB) </w:t>
            </w:r>
          </w:p>
        </w:tc>
        <w:tc>
          <w:tcPr>
            <w:tcW w:w="19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20A08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Classical human gene datasets from multiple reliable sources</w:t>
            </w:r>
          </w:p>
        </w:tc>
      </w:tr>
      <w:tr w14:paraId="055B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C9A3A50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C3</w:t>
            </w:r>
          </w:p>
        </w:tc>
        <w:tc>
          <w:tcPr>
            <w:tcW w:w="20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3BBE202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Human regulatory target gene datasets from Molecular Signatures Database (MSigDB)</w:t>
            </w:r>
          </w:p>
        </w:tc>
        <w:tc>
          <w:tcPr>
            <w:tcW w:w="19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9DA437D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Transcription factor target gene sets and microRNA target gene sets</w:t>
            </w:r>
          </w:p>
        </w:tc>
      </w:tr>
    </w:tbl>
    <w:p w14:paraId="31C56D75">
      <w:pPr>
        <w:widowControl/>
        <w:jc w:val="left"/>
        <w:textAlignment w:val="center"/>
        <w:rPr>
          <w:rFonts w:ascii="Times New Roman" w:hAnsi="Times New Roman"/>
          <w:color w:val="000000"/>
          <w:kern w:val="0"/>
          <w:sz w:val="16"/>
          <w:szCs w:val="16"/>
          <w:lang w:bidi="ar"/>
        </w:rPr>
      </w:pPr>
    </w:p>
    <w:p w14:paraId="7E04FE56">
      <w:pPr>
        <w:pStyle w:val="54"/>
        <w:adjustRightInd w:val="0"/>
        <w:snapToGrid w:val="0"/>
        <w:spacing w:before="240" w:beforeLines="0" w:after="240" w:afterLines="0" w:line="288" w:lineRule="auto"/>
        <w:jc w:val="both"/>
        <w:rPr>
          <w:rFonts w:ascii="Times New Roman" w:hAnsi="Times New Roman" w:eastAsiaTheme="minorEastAsia"/>
          <w:b w:val="0"/>
          <w:sz w:val="21"/>
          <w:szCs w:val="21"/>
        </w:rPr>
      </w:pPr>
      <w:r>
        <w:rPr>
          <w:rFonts w:hint="eastAsia" w:ascii="Times New Roman" w:hAnsi="Times New Roman" w:eastAsiaTheme="minorEastAsia"/>
          <w:bCs/>
          <w:sz w:val="21"/>
          <w:szCs w:val="21"/>
        </w:rPr>
        <w:t>Supplementary Table 2.</w:t>
      </w:r>
      <w:r>
        <w:rPr>
          <w:rFonts w:hint="eastAsia" w:ascii="Times New Roman" w:hAnsi="Times New Roman" w:eastAsiaTheme="minorEastAsia"/>
          <w:b w:val="0"/>
          <w:sz w:val="21"/>
          <w:szCs w:val="21"/>
        </w:rPr>
        <w:t xml:space="preserve"> </w:t>
      </w:r>
      <w:r>
        <w:rPr>
          <w:rFonts w:ascii="Times New Roman" w:hAnsi="Times New Roman" w:eastAsiaTheme="minorEastAsia"/>
          <w:b w:val="0"/>
          <w:sz w:val="21"/>
          <w:szCs w:val="21"/>
        </w:rPr>
        <w:t>IC₅₀ values of chrysin (ChR, μmol/L) in ovarian cancer (OC) cell lines SKOV3 and CAOV3.</w:t>
      </w:r>
    </w:p>
    <w:tbl>
      <w:tblPr>
        <w:tblStyle w:val="13"/>
        <w:tblpPr w:leftFromText="180" w:rightFromText="180" w:vertAnchor="text" w:horzAnchor="page" w:tblpX="2069" w:tblpY="54"/>
        <w:tblOverlap w:val="never"/>
        <w:tblW w:w="45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3172"/>
        <w:gridCol w:w="2957"/>
      </w:tblGrid>
      <w:tr w14:paraId="4034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9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209E2B78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Time</w:t>
            </w:r>
          </w:p>
        </w:tc>
        <w:tc>
          <w:tcPr>
            <w:tcW w:w="211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EF668BE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SKOV3</w:t>
            </w:r>
          </w:p>
        </w:tc>
        <w:tc>
          <w:tcPr>
            <w:tcW w:w="197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1D2C2B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CAOV3</w:t>
            </w:r>
          </w:p>
        </w:tc>
      </w:tr>
      <w:tr w14:paraId="4212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619F4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24h</w:t>
            </w:r>
          </w:p>
        </w:tc>
        <w:tc>
          <w:tcPr>
            <w:tcW w:w="2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E7C68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114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18"/>
                <w:szCs w:val="21"/>
                <w:lang w:val="en-US" w:eastAsia="zh-CN"/>
              </w:rPr>
              <w:t>.00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±33.48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788A9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172.9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18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±22.51</w:t>
            </w:r>
          </w:p>
        </w:tc>
      </w:tr>
      <w:tr w14:paraId="63A5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75F8B0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48h</w:t>
            </w:r>
          </w:p>
        </w:tc>
        <w:tc>
          <w:tcPr>
            <w:tcW w:w="2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260FC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87.93±20.18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F96B5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118.7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18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±32.6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18"/>
                <w:szCs w:val="21"/>
              </w:rPr>
              <w:t>0</w:t>
            </w:r>
          </w:p>
        </w:tc>
      </w:tr>
      <w:tr w14:paraId="40933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9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4B7C598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72h</w:t>
            </w:r>
          </w:p>
        </w:tc>
        <w:tc>
          <w:tcPr>
            <w:tcW w:w="211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92434D4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61.76±9.40</w:t>
            </w:r>
          </w:p>
        </w:tc>
        <w:tc>
          <w:tcPr>
            <w:tcW w:w="19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D0B9655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69.95±5.43</w:t>
            </w:r>
          </w:p>
        </w:tc>
      </w:tr>
    </w:tbl>
    <w:p w14:paraId="6B656557">
      <w:pPr>
        <w:widowControl/>
        <w:jc w:val="left"/>
        <w:textAlignment w:val="center"/>
        <w:rPr>
          <w:rFonts w:ascii="Times New Roman" w:hAnsi="Times New Roman"/>
          <w:color w:val="000000"/>
          <w:kern w:val="0"/>
          <w:sz w:val="16"/>
          <w:szCs w:val="16"/>
          <w:lang w:bidi="ar"/>
        </w:rPr>
      </w:pPr>
      <w:r>
        <w:rPr>
          <w:rFonts w:hint="eastAsia" w:ascii="Times New Roman" w:hAnsi="Times New Roman"/>
          <w:color w:val="000000"/>
          <w:kern w:val="0"/>
          <w:sz w:val="16"/>
          <w:szCs w:val="16"/>
          <w:lang w:bidi="ar"/>
        </w:rPr>
        <w:t>IC</w:t>
      </w:r>
      <w:r>
        <w:rPr>
          <w:rFonts w:hint="eastAsia" w:ascii="Times New Roman" w:hAnsi="Times New Roman"/>
          <w:color w:val="000000"/>
          <w:kern w:val="0"/>
          <w:sz w:val="16"/>
          <w:szCs w:val="16"/>
          <w:vertAlign w:val="subscript"/>
          <w:lang w:bidi="ar"/>
        </w:rPr>
        <w:t>50</w:t>
      </w:r>
      <w:r>
        <w:rPr>
          <w:rFonts w:hint="eastAsia" w:ascii="Times New Roman" w:hAnsi="Times New Roman"/>
          <w:color w:val="000000"/>
          <w:kern w:val="0"/>
          <w:sz w:val="16"/>
          <w:szCs w:val="16"/>
          <w:lang w:bidi="ar"/>
        </w:rPr>
        <w:t>: half-maximal inhibitory concentration.</w:t>
      </w:r>
    </w:p>
    <w:p w14:paraId="2BEDA05C">
      <w:pPr>
        <w:pStyle w:val="54"/>
        <w:adjustRightInd w:val="0"/>
        <w:snapToGrid w:val="0"/>
        <w:spacing w:before="240" w:beforeLines="0" w:after="240" w:afterLines="0" w:line="288" w:lineRule="auto"/>
        <w:jc w:val="both"/>
        <w:rPr>
          <w:rFonts w:ascii="Times New Roman" w:hAnsi="Times New Roman" w:eastAsiaTheme="minorEastAsia"/>
          <w:bCs/>
          <w:sz w:val="21"/>
          <w:szCs w:val="21"/>
        </w:rPr>
      </w:pPr>
      <w:r>
        <w:rPr>
          <w:rFonts w:ascii="Times New Roman" w:hAnsi="Times New Roman" w:eastAsiaTheme="minorEastAsia"/>
          <w:bCs/>
          <w:sz w:val="21"/>
          <w:szCs w:val="21"/>
        </w:rPr>
        <w:t xml:space="preserve">Supplementary Table </w:t>
      </w:r>
      <w:r>
        <w:rPr>
          <w:rFonts w:hint="eastAsia" w:ascii="Times New Roman" w:hAnsi="Times New Roman" w:eastAsiaTheme="minorEastAsia"/>
          <w:bCs/>
          <w:sz w:val="21"/>
          <w:szCs w:val="21"/>
        </w:rPr>
        <w:t>3</w:t>
      </w:r>
      <w:r>
        <w:rPr>
          <w:rFonts w:ascii="Times New Roman" w:hAnsi="Times New Roman" w:eastAsiaTheme="minorEastAsia"/>
          <w:bCs/>
          <w:sz w:val="21"/>
          <w:szCs w:val="21"/>
        </w:rPr>
        <w:t xml:space="preserve">. </w:t>
      </w:r>
      <w:r>
        <w:rPr>
          <w:rFonts w:ascii="Times New Roman" w:hAnsi="Times New Roman" w:eastAsiaTheme="minorEastAsia"/>
          <w:b w:val="0"/>
          <w:sz w:val="21"/>
          <w:szCs w:val="21"/>
        </w:rPr>
        <w:t>IC₅₀ values of cisplatin (DDP, μg/mL) in parental and cisplatin-resistant ovarian cancer (OC) cell lines.</w:t>
      </w:r>
    </w:p>
    <w:tbl>
      <w:tblPr>
        <w:tblStyle w:val="13"/>
        <w:tblpPr w:leftFromText="180" w:rightFromText="180" w:vertAnchor="text" w:horzAnchor="page" w:tblpX="2069" w:tblpY="54"/>
        <w:tblOverlap w:val="never"/>
        <w:tblW w:w="45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3172"/>
        <w:gridCol w:w="2957"/>
      </w:tblGrid>
      <w:tr w14:paraId="2FC2C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9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62DB6AC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Cell lines</w:t>
            </w:r>
          </w:p>
        </w:tc>
        <w:tc>
          <w:tcPr>
            <w:tcW w:w="211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2C5C8BD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IC</w:t>
            </w: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  <w:vertAlign w:val="subscript"/>
              </w:rPr>
              <w:t>50</w:t>
            </w:r>
          </w:p>
        </w:tc>
        <w:tc>
          <w:tcPr>
            <w:tcW w:w="197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8B2D5D9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RI</w:t>
            </w:r>
          </w:p>
        </w:tc>
      </w:tr>
      <w:tr w14:paraId="2529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935767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SKOV3</w:t>
            </w:r>
          </w:p>
        </w:tc>
        <w:tc>
          <w:tcPr>
            <w:tcW w:w="2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8D05BF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12.72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226FD7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8.14</w:t>
            </w:r>
          </w:p>
        </w:tc>
      </w:tr>
      <w:tr w14:paraId="0931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EA2B66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SKOV3/DDP</w:t>
            </w:r>
          </w:p>
        </w:tc>
        <w:tc>
          <w:tcPr>
            <w:tcW w:w="2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FAE6A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103.50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22E17D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</w:p>
        </w:tc>
      </w:tr>
      <w:tr w14:paraId="4B4CD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B4785B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CAOV3</w:t>
            </w:r>
          </w:p>
        </w:tc>
        <w:tc>
          <w:tcPr>
            <w:tcW w:w="2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A01B6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17.39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A0AE55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4.45</w:t>
            </w:r>
          </w:p>
        </w:tc>
      </w:tr>
      <w:tr w14:paraId="39B97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9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F2ADFED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8"/>
                <w:szCs w:val="21"/>
              </w:rPr>
              <w:t>CAOV3/DDP</w:t>
            </w:r>
          </w:p>
        </w:tc>
        <w:tc>
          <w:tcPr>
            <w:tcW w:w="211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ADD5DCB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  <w:t>77.42</w:t>
            </w:r>
          </w:p>
        </w:tc>
        <w:tc>
          <w:tcPr>
            <w:tcW w:w="19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963EE4A">
            <w:pPr>
              <w:adjustRightInd w:val="0"/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21"/>
              </w:rPr>
            </w:pPr>
          </w:p>
        </w:tc>
      </w:tr>
    </w:tbl>
    <w:p w14:paraId="1B8677C6">
      <w:pPr>
        <w:widowControl/>
        <w:jc w:val="left"/>
        <w:textAlignment w:val="center"/>
        <w:rPr>
          <w:rFonts w:ascii="Times New Roman" w:hAnsi="Times New Roman"/>
          <w:color w:val="000000"/>
          <w:kern w:val="0"/>
          <w:sz w:val="16"/>
          <w:szCs w:val="16"/>
          <w:lang w:bidi="ar"/>
        </w:rPr>
      </w:pPr>
      <w:r>
        <w:rPr>
          <w:rFonts w:ascii="Times New Roman" w:hAnsi="Times New Roman"/>
          <w:color w:val="000000"/>
          <w:kern w:val="0"/>
          <w:sz w:val="16"/>
          <w:szCs w:val="16"/>
          <w:lang w:bidi="ar"/>
        </w:rPr>
        <w:t>RI:</w:t>
      </w:r>
      <w:r>
        <w:rPr>
          <w:rFonts w:hint="eastAsia" w:ascii="Times New Roman" w:hAnsi="Times New Roman"/>
          <w:color w:val="000000"/>
          <w:kern w:val="0"/>
          <w:sz w:val="16"/>
          <w:szCs w:val="16"/>
          <w:lang w:bidi="ar"/>
        </w:rPr>
        <w:t xml:space="preserve"> r</w:t>
      </w:r>
      <w:r>
        <w:rPr>
          <w:rFonts w:ascii="Times New Roman" w:hAnsi="Times New Roman"/>
          <w:color w:val="000000"/>
          <w:kern w:val="0"/>
          <w:sz w:val="16"/>
          <w:szCs w:val="16"/>
          <w:lang w:bidi="ar"/>
        </w:rPr>
        <w:t>esistance index;</w:t>
      </w:r>
      <w:r>
        <w:rPr>
          <w:rFonts w:hint="eastAsia" w:ascii="Times New Roman" w:hAnsi="Times New Roman"/>
          <w:color w:val="000000"/>
          <w:kern w:val="0"/>
          <w:sz w:val="16"/>
          <w:szCs w:val="16"/>
          <w:lang w:bidi="ar"/>
        </w:rPr>
        <w:t xml:space="preserve"> </w:t>
      </w:r>
      <w:r>
        <w:rPr>
          <w:rFonts w:ascii="Times New Roman" w:hAnsi="Times New Roman"/>
          <w:color w:val="000000"/>
          <w:kern w:val="0"/>
          <w:sz w:val="16"/>
          <w:szCs w:val="16"/>
          <w:lang w:bidi="ar"/>
        </w:rPr>
        <w:t>IC</w:t>
      </w:r>
      <w:r>
        <w:rPr>
          <w:rFonts w:hint="eastAsia" w:ascii="Times New Roman" w:hAnsi="Times New Roman"/>
          <w:color w:val="000000"/>
          <w:kern w:val="0"/>
          <w:sz w:val="16"/>
          <w:szCs w:val="16"/>
          <w:vertAlign w:val="subscript"/>
          <w:lang w:bidi="ar"/>
        </w:rPr>
        <w:t>50</w:t>
      </w:r>
      <w:r>
        <w:rPr>
          <w:rFonts w:ascii="Times New Roman" w:hAnsi="Times New Roman"/>
          <w:color w:val="000000"/>
          <w:kern w:val="0"/>
          <w:sz w:val="16"/>
          <w:szCs w:val="16"/>
          <w:lang w:bidi="ar"/>
        </w:rPr>
        <w:t>:</w:t>
      </w:r>
      <w:r>
        <w:rPr>
          <w:rFonts w:hint="eastAsia" w:ascii="Times New Roman" w:hAnsi="Times New Roman"/>
          <w:color w:val="000000"/>
          <w:kern w:val="0"/>
          <w:sz w:val="16"/>
          <w:szCs w:val="16"/>
          <w:lang w:bidi="ar"/>
        </w:rPr>
        <w:t xml:space="preserve"> h</w:t>
      </w:r>
      <w:r>
        <w:rPr>
          <w:rFonts w:ascii="Times New Roman" w:hAnsi="Times New Roman"/>
          <w:color w:val="000000"/>
          <w:kern w:val="0"/>
          <w:sz w:val="16"/>
          <w:szCs w:val="16"/>
          <w:lang w:bidi="ar"/>
        </w:rPr>
        <w:t>alf-maximal inhibitory concentration</w:t>
      </w:r>
      <w:r>
        <w:rPr>
          <w:rFonts w:hint="eastAsia" w:ascii="Times New Roman" w:hAnsi="Times New Roman"/>
          <w:color w:val="000000"/>
          <w:kern w:val="0"/>
          <w:sz w:val="16"/>
          <w:szCs w:val="16"/>
          <w:lang w:bidi="ar"/>
        </w:rPr>
        <w:t>.</w:t>
      </w:r>
    </w:p>
    <w:p w14:paraId="10ADAD24"/>
    <w:p w14:paraId="660A5779"/>
    <w:p w14:paraId="35CAACFA"/>
    <w:p w14:paraId="3B5ABB80">
      <w:r>
        <w:rPr>
          <w:rStyle w:val="16"/>
          <w:szCs w:val="24"/>
        </w:rPr>
        <w:drawing>
          <wp:inline distT="0" distB="0" distL="114300" distR="114300">
            <wp:extent cx="5269865" cy="5154295"/>
            <wp:effectExtent l="0" t="0" r="3175" b="12065"/>
            <wp:docPr id="6" name="图片 6" descr="S1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1  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5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7FEAF">
      <w:pPr>
        <w:pStyle w:val="55"/>
        <w:spacing w:line="480" w:lineRule="auto"/>
        <w:ind w:firstLine="42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Supplementary Fig. 1. Effects of chrysin (ChR) and cisplatin (DDP), alone or in combination at varying concentrations, on the viability of the ovarian cancer (OC) SKOV3 cell line.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(A) SKOV3 cells were treated with DDP alone, or DDP combined with ChR (10 μmol/L, 15 μmol/L, and 25 μmol/L), and cell viability was evaluated by the CCK-8 assay. Data were analyzed with CompuSyn software to generate dose–effect curves, combination index (CI) plots, and isobolograms. (B) DDP combined with 10 μmol/L ChR; (C) DDP combined with 15 μmol/L ChR; (D) DDP combined with 25 μmol/L ChR. Comb1: DDP combined with 10 μmol/L ChR; Comb2: DDP combined with 15 μmol/L ChR; Comb4: DDP combined with 25 μmol/L ChR. Fa: Fraction of cells affected by combination therapy; CI: Combination index; OC: ovarian cancer; ChR: Chrysin; DDP: Cisplatin. 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n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= 3, 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&lt; 0.05; **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&lt; 0.01; ***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&lt; 0.001; ****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&lt; 0.0001.</w:t>
      </w:r>
    </w:p>
    <w:p w14:paraId="5352499A"/>
    <w:p w14:paraId="74B03FC2"/>
    <w:p w14:paraId="2670D266"/>
    <w:p w14:paraId="484C07C9">
      <w:r>
        <w:drawing>
          <wp:inline distT="0" distB="0" distL="114300" distR="114300">
            <wp:extent cx="5270500" cy="7590790"/>
            <wp:effectExtent l="0" t="0" r="2540" b="13970"/>
            <wp:docPr id="5" name="图片 5" descr="Figure 2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2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9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2CE6">
      <w:pPr>
        <w:pStyle w:val="55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Supplementary Fig. </w:t>
      </w:r>
      <w:r>
        <w:rPr>
          <w:rFonts w:hint="eastAsia" w:ascii="Times New Roman" w:hAnsi="Times New Roman"/>
          <w:sz w:val="21"/>
          <w:szCs w:val="21"/>
        </w:rPr>
        <w:t>2</w:t>
      </w:r>
      <w:r>
        <w:rPr>
          <w:rFonts w:ascii="Times New Roman" w:hAnsi="Times New Roman"/>
          <w:sz w:val="21"/>
          <w:szCs w:val="21"/>
        </w:rPr>
        <w:t>. Quantitative densitometric analysis of proteins in parental and cisplatin-resistant OC cells.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(A) Relative MDR1 protein levels in parental SKOV3 and cisplatin‑resistant SKOV3/DDP cells, determined by Western blotting. (B) Relative MDR1 protein levels in parental CAOV3 and cisplatin‑resistant CAOV3/DDP cells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 xml:space="preserve">. 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(C) Relative levels of EMT markers (N‑cadherin, E‑cadherin, Vimentin, Snail1) in SKOV3 and SKOV3/DDP cell pairs. (D) Relative levels of EMT markers (N‑cadherin, E‑cadherin, Vimentin, Snail1) in CAOV3 and CAOV3/DDP cell pairs. (E) Relative levels of EMT markers (N‑cadherin, E‑cadherin, 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V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imentin, Snail1) in SKOV3/DDP cells treated with NC (negative control), ChR, DDP, or ChR + DDP. (F) Relative levels of EMT markers (N‑cadherin, E‑cadherin, 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V</w:t>
      </w:r>
      <w:r>
        <w:rPr>
          <w:rFonts w:ascii="Times New Roman" w:hAnsi="Times New Roman"/>
          <w:b w:val="0"/>
          <w:bCs w:val="0"/>
          <w:sz w:val="21"/>
          <w:szCs w:val="21"/>
        </w:rPr>
        <w:t>imentin, Snail1) in CAOV3/DDP cells treated with NC, ChR, DDP, or ChR + DDP. (G) Western blot analysis of NF‑κB pathway proteins in cisplatin‑resistant SKOV3/DDP cells treated with NC, ChR, DDP, or ChR + DDP. (H) Western blot analysis of NF‑κB pathway proteins in cisplatin‑resistant CAOV3/DDP cells treated with NC, ChR, DDP, or ChR + DDP. (I) Twist1 expression in SKOV3/DDP cells treated with NC, ChR + DDP, or ChR + DDP + PMA. (J) Levels of EMT markers (N‑cadherin, E‑cadherin, Vimentin, Snail1) in SKOV3/DDP cells treated with NC, DDP, ChR + DDP, or ChR + DDP + PMA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 xml:space="preserve">. </w:t>
      </w:r>
      <w:r>
        <w:rPr>
          <w:rFonts w:ascii="Times New Roman" w:hAnsi="Times New Roman"/>
          <w:b w:val="0"/>
          <w:bCs w:val="0"/>
          <w:sz w:val="21"/>
          <w:szCs w:val="21"/>
        </w:rPr>
        <w:t>GAPDH was used as the loading control. Data are presented as mean ± SD; 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> &lt; 0.05, **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> &lt; 0.01, ***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> &lt; 0.001, ****</w:t>
      </w:r>
      <w:r>
        <w:rPr>
          <w:rFonts w:ascii="Times New Roman" w:hAnsi="Times New Roman"/>
          <w:b w:val="0"/>
          <w:bCs w:val="0"/>
          <w:i/>
          <w:iCs/>
          <w:sz w:val="21"/>
          <w:szCs w:val="21"/>
        </w:rPr>
        <w:t>p</w:t>
      </w:r>
      <w:r>
        <w:rPr>
          <w:rFonts w:ascii="Times New Roman" w:hAnsi="Times New Roman"/>
          <w:b w:val="0"/>
          <w:bCs w:val="0"/>
          <w:sz w:val="21"/>
          <w:szCs w:val="21"/>
        </w:rPr>
        <w:t> &lt; 0.0001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.</w:t>
      </w:r>
    </w:p>
    <w:p w14:paraId="69D019B1"/>
    <w:p w14:paraId="433AB6DB">
      <w:r>
        <w:br w:type="page"/>
      </w:r>
    </w:p>
    <w:p w14:paraId="7EB8AE38">
      <w:r>
        <w:rPr>
          <w:rFonts w:hint="eastAsia"/>
        </w:rPr>
        <w:drawing>
          <wp:inline distT="0" distB="0" distL="114300" distR="114300">
            <wp:extent cx="5105400" cy="4913630"/>
            <wp:effectExtent l="0" t="0" r="0" b="8890"/>
            <wp:docPr id="4" name="图片 4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91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722DF"/>
    <w:p w14:paraId="28B9D9DD">
      <w:pPr>
        <w:pStyle w:val="55"/>
        <w:spacing w:line="480" w:lineRule="auto"/>
      </w:pPr>
      <w:r>
        <w:rPr>
          <w:rFonts w:ascii="Times New Roman" w:hAnsi="Times New Roman"/>
          <w:sz w:val="21"/>
          <w:szCs w:val="21"/>
        </w:rPr>
        <w:t>Supplementary Fig. 3. Cytotoxic effect of Chrysin on IOSE80 normal human ovarian surface epithelial cells.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Cells were exposed to 0–800 μM ChR for 24 h, and viability was assessed by CCK</w:t>
      </w:r>
      <w:r>
        <w:rPr>
          <w:rFonts w:ascii="Times New Roman" w:hAnsi="Times New Roman"/>
          <w:b w:val="0"/>
          <w:bCs w:val="0"/>
          <w:sz w:val="21"/>
          <w:szCs w:val="21"/>
        </w:rPr>
        <w:noBreakHyphen/>
      </w:r>
      <w:r>
        <w:rPr>
          <w:rFonts w:ascii="Times New Roman" w:hAnsi="Times New Roman"/>
          <w:b w:val="0"/>
          <w:bCs w:val="0"/>
          <w:sz w:val="21"/>
          <w:szCs w:val="21"/>
        </w:rPr>
        <w:t>8 assay. Data are mean ± SD (n = 3). *p &lt; 0.05, **p &lt; 0.01, ***p &lt; 0.001, ****p &lt; 0.0001.</w:t>
      </w:r>
    </w:p>
    <w:p w14:paraId="77FA2D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B468F5"/>
    <w:multiLevelType w:val="multilevel"/>
    <w:tmpl w:val="18B468F5"/>
    <w:lvl w:ilvl="0" w:tentative="0">
      <w:start w:val="1"/>
      <w:numFmt w:val="bullet"/>
      <w:pStyle w:val="24"/>
      <w:lvlText w:val=""/>
      <w:lvlJc w:val="left"/>
      <w:pPr>
        <w:ind w:left="3033" w:hanging="425"/>
      </w:pPr>
      <w:rPr>
        <w:rFonts w:hint="default" w:ascii="Symbol" w:hAnsi="Symbol"/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1C"/>
    <w:rsid w:val="00077E40"/>
    <w:rsid w:val="00111568"/>
    <w:rsid w:val="001518DF"/>
    <w:rsid w:val="001840E2"/>
    <w:rsid w:val="001C4626"/>
    <w:rsid w:val="00460643"/>
    <w:rsid w:val="00504A45"/>
    <w:rsid w:val="00624DC9"/>
    <w:rsid w:val="00663DE1"/>
    <w:rsid w:val="00730E4A"/>
    <w:rsid w:val="0074413D"/>
    <w:rsid w:val="0077642D"/>
    <w:rsid w:val="007F4FD8"/>
    <w:rsid w:val="008A731C"/>
    <w:rsid w:val="00960A56"/>
    <w:rsid w:val="00A11BB4"/>
    <w:rsid w:val="00A26EF7"/>
    <w:rsid w:val="00AA6C83"/>
    <w:rsid w:val="00B56558"/>
    <w:rsid w:val="00B930EB"/>
    <w:rsid w:val="00C2173D"/>
    <w:rsid w:val="00C42F99"/>
    <w:rsid w:val="00E35934"/>
    <w:rsid w:val="00E57C56"/>
    <w:rsid w:val="00EA3D4B"/>
    <w:rsid w:val="00EC5DB9"/>
    <w:rsid w:val="00F21DF7"/>
    <w:rsid w:val="16861097"/>
    <w:rsid w:val="30032221"/>
    <w:rsid w:val="3DBF2DD7"/>
    <w:rsid w:val="5587173B"/>
    <w:rsid w:val="5D9138F3"/>
    <w:rsid w:val="6D1F1741"/>
    <w:rsid w:val="79856DD0"/>
    <w:rsid w:val="7E2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1" w:semiHidden="0" w:name="heading 1"/>
    <w:lsdException w:qFormat="1" w:unhideWhenUsed="0" w:uiPriority="11" w:semiHidden="0" w:name="heading 2"/>
    <w:lsdException w:qFormat="1" w:unhideWhenUsed="0" w:uiPriority="1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20" w:semiHidden="0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qFormat="1" w:uiPriority="99" w:name="line number"/>
    <w:lsdException w:uiPriority="0" w:name="page number"/>
    <w:lsdException w:uiPriority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11"/>
    <w:pPr>
      <w:keepNext/>
      <w:keepLines/>
      <w:widowControl/>
      <w:adjustRightInd w:val="0"/>
      <w:snapToGrid w:val="0"/>
      <w:spacing w:before="360" w:after="360"/>
      <w:outlineLvl w:val="0"/>
    </w:pPr>
    <w:rPr>
      <w:rFonts w:ascii="Times New Roman" w:hAnsi="Times New Roman" w:eastAsia="Times New Roman"/>
      <w:b/>
      <w:bCs/>
      <w:color w:val="000000"/>
      <w:kern w:val="44"/>
      <w:sz w:val="24"/>
    </w:rPr>
  </w:style>
  <w:style w:type="paragraph" w:styleId="3">
    <w:name w:val="heading 2"/>
    <w:basedOn w:val="1"/>
    <w:next w:val="1"/>
    <w:link w:val="42"/>
    <w:qFormat/>
    <w:uiPriority w:val="11"/>
    <w:pPr>
      <w:keepNext/>
      <w:keepLines/>
      <w:widowControl/>
      <w:adjustRightInd w:val="0"/>
      <w:snapToGrid w:val="0"/>
      <w:spacing w:before="240" w:after="240"/>
      <w:outlineLvl w:val="1"/>
    </w:pPr>
    <w:rPr>
      <w:rFonts w:ascii="Times New Roman" w:hAnsi="Times New Roman" w:eastAsia="Times New Roman"/>
      <w:b/>
      <w:bCs/>
      <w:i/>
      <w:color w:val="000000"/>
      <w:kern w:val="0"/>
      <w:szCs w:val="21"/>
    </w:rPr>
  </w:style>
  <w:style w:type="paragraph" w:styleId="4">
    <w:name w:val="heading 3"/>
    <w:basedOn w:val="1"/>
    <w:next w:val="1"/>
    <w:link w:val="43"/>
    <w:qFormat/>
    <w:uiPriority w:val="11"/>
    <w:pPr>
      <w:keepNext/>
      <w:keepLines/>
      <w:widowControl/>
      <w:adjustRightInd w:val="0"/>
      <w:snapToGrid w:val="0"/>
      <w:spacing w:before="160" w:after="160"/>
      <w:outlineLvl w:val="2"/>
    </w:pPr>
    <w:rPr>
      <w:rFonts w:ascii="Times New Roman" w:hAnsi="Times New Roman" w:eastAsia="Times New Roman"/>
      <w:bCs/>
      <w:i/>
      <w:color w:val="000000"/>
      <w:kern w:val="0"/>
      <w:szCs w:val="21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53"/>
    <w:qFormat/>
    <w:uiPriority w:val="20"/>
    <w:pPr>
      <w:widowControl/>
      <w:adjustRightInd w:val="0"/>
      <w:snapToGrid w:val="0"/>
      <w:jc w:val="left"/>
    </w:pPr>
    <w:rPr>
      <w:rFonts w:ascii="Times New Roman" w:hAnsi="Times New Roman" w:eastAsia="Times New Roman"/>
      <w:kern w:val="0"/>
      <w:szCs w:val="21"/>
      <w:lang w:eastAsia="es-ES"/>
    </w:rPr>
  </w:style>
  <w:style w:type="paragraph" w:styleId="6">
    <w:name w:val="endnote text"/>
    <w:basedOn w:val="1"/>
    <w:link w:val="44"/>
    <w:semiHidden/>
    <w:unhideWhenUsed/>
    <w:qFormat/>
    <w:uiPriority w:val="0"/>
    <w:pPr>
      <w:widowControl/>
    </w:pPr>
    <w:rPr>
      <w:rFonts w:ascii="Palatino Linotype" w:hAnsi="Palatino Linotype"/>
      <w:color w:val="000000"/>
      <w:kern w:val="0"/>
      <w:sz w:val="20"/>
      <w:szCs w:val="20"/>
    </w:rPr>
  </w:style>
  <w:style w:type="paragraph" w:styleId="7">
    <w:name w:val="Balloon Text"/>
    <w:basedOn w:val="1"/>
    <w:link w:val="40"/>
    <w:semiHidden/>
    <w:qFormat/>
    <w:uiPriority w:val="99"/>
    <w:pPr>
      <w:widowControl/>
      <w:spacing w:line="260" w:lineRule="atLeast"/>
    </w:pPr>
    <w:rPr>
      <w:rFonts w:ascii="Palatino Linotype" w:hAnsi="Palatino Linotype" w:cs="Tahoma"/>
      <w:color w:val="000000"/>
      <w:kern w:val="0"/>
      <w:sz w:val="20"/>
      <w:szCs w:val="18"/>
    </w:rPr>
  </w:style>
  <w:style w:type="paragraph" w:styleId="8">
    <w:name w:val="footer"/>
    <w:basedOn w:val="1"/>
    <w:link w:val="46"/>
    <w:semiHidden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</w:pPr>
    <w:rPr>
      <w:rFonts w:ascii="Palatino Linotype" w:hAnsi="Palatino Linotype"/>
      <w:color w:val="000000"/>
      <w:kern w:val="0"/>
      <w:sz w:val="20"/>
      <w:szCs w:val="18"/>
    </w:rPr>
  </w:style>
  <w:style w:type="paragraph" w:styleId="9">
    <w:name w:val="header"/>
    <w:basedOn w:val="1"/>
    <w:link w:val="47"/>
    <w:semiHidden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Palatino Linotype" w:hAnsi="Palatino Linotype"/>
      <w:color w:val="000000"/>
      <w:kern w:val="0"/>
      <w:sz w:val="20"/>
      <w:szCs w:val="18"/>
    </w:rPr>
  </w:style>
  <w:style w:type="paragraph" w:styleId="10">
    <w:name w:val="Normal (Web)"/>
    <w:basedOn w:val="1"/>
    <w:semiHidden/>
    <w:qFormat/>
    <w:uiPriority w:val="99"/>
    <w:pPr>
      <w:widowControl/>
      <w:spacing w:line="260" w:lineRule="atLeast"/>
    </w:pPr>
    <w:rPr>
      <w:rFonts w:ascii="Palatino Linotype" w:hAnsi="Palatino Linotype"/>
      <w:color w:val="000000"/>
      <w:kern w:val="0"/>
      <w:sz w:val="20"/>
    </w:rPr>
  </w:style>
  <w:style w:type="paragraph" w:styleId="11">
    <w:name w:val="annotation subject"/>
    <w:basedOn w:val="5"/>
    <w:next w:val="5"/>
    <w:link w:val="56"/>
    <w:semiHidden/>
    <w:unhideWhenUsed/>
    <w:qFormat/>
    <w:uiPriority w:val="0"/>
    <w:pPr>
      <w:widowControl w:val="0"/>
      <w:adjustRightInd/>
      <w:snapToGrid/>
    </w:pPr>
    <w:rPr>
      <w:rFonts w:ascii="Calibri" w:hAnsi="Calibri" w:eastAsia="宋体"/>
      <w:b/>
      <w:bCs/>
      <w:kern w:val="2"/>
      <w:szCs w:val="24"/>
      <w:lang w:eastAsia="zh-CN"/>
    </w:rPr>
  </w:style>
  <w:style w:type="table" w:styleId="13">
    <w:name w:val="Table Grid"/>
    <w:basedOn w:val="12"/>
    <w:qFormat/>
    <w:uiPriority w:val="0"/>
    <w:pPr>
      <w:spacing w:line="260" w:lineRule="atLeast"/>
      <w:jc w:val="both"/>
    </w:pPr>
    <w:rPr>
      <w:rFonts w:ascii="Palatino Linotype" w:hAnsi="Palatino Linotype" w:eastAsia="宋体" w:cs="Times New Roman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line number"/>
    <w:basedOn w:val="14"/>
    <w:semiHidden/>
    <w:unhideWhenUsed/>
    <w:qFormat/>
    <w:uiPriority w:val="99"/>
  </w:style>
  <w:style w:type="character" w:styleId="16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customStyle="1" w:styleId="17">
    <w:name w:val="Abstract"/>
    <w:next w:val="1"/>
    <w:qFormat/>
    <w:uiPriority w:val="9"/>
    <w:pPr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18">
    <w:name w:val="Academic editor"/>
    <w:qFormat/>
    <w:uiPriority w:val="6"/>
    <w:pPr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19">
    <w:name w:val="Affiliation"/>
    <w:qFormat/>
    <w:uiPriority w:val="3"/>
    <w:pPr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20">
    <w:name w:val="Article title"/>
    <w:next w:val="1"/>
    <w:qFormat/>
    <w:uiPriority w:val="1"/>
    <w:pPr>
      <w:adjustRightInd w:val="0"/>
      <w:snapToGrid w:val="0"/>
      <w:jc w:val="both"/>
    </w:pPr>
    <w:rPr>
      <w:rFonts w:ascii="Times New Roman" w:hAnsi="Times New Roman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21">
    <w:name w:val="Article type"/>
    <w:next w:val="1"/>
    <w:qFormat/>
    <w:uiPriority w:val="0"/>
    <w:pPr>
      <w:adjustRightInd w:val="0"/>
      <w:snapToGrid w:val="0"/>
    </w:pPr>
    <w:rPr>
      <w:rFonts w:ascii="Times New Roman" w:hAnsi="Times New Roman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22">
    <w:name w:val="Authornames"/>
    <w:next w:val="1"/>
    <w:qFormat/>
    <w:uiPriority w:val="2"/>
    <w:pPr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23">
    <w:name w:val="Back matter"/>
    <w:qFormat/>
    <w:uiPriority w:val="18"/>
    <w:pPr>
      <w:adjustRightInd w:val="0"/>
      <w:snapToGrid w:val="0"/>
      <w:spacing w:before="50" w:beforeLines="50" w:after="50" w:afterLines="50"/>
      <w:jc w:val="both"/>
    </w:pPr>
    <w:rPr>
      <w:rFonts w:ascii="Times New Roman" w:hAnsi="Times New Roman" w:eastAsia="Times New Roman" w:cs="Times New Roman"/>
      <w:b/>
      <w:snapToGrid w:val="0"/>
      <w:color w:val="000000"/>
      <w:sz w:val="24"/>
      <w:szCs w:val="24"/>
      <w:lang w:val="en-US" w:eastAsia="en-US" w:bidi="en-US"/>
    </w:rPr>
  </w:style>
  <w:style w:type="paragraph" w:customStyle="1" w:styleId="24">
    <w:name w:val="Bullet"/>
    <w:qFormat/>
    <w:uiPriority w:val="16"/>
    <w:pPr>
      <w:numPr>
        <w:ilvl w:val="0"/>
        <w:numId w:val="1"/>
      </w:numPr>
      <w:adjustRightInd w:val="0"/>
      <w:snapToGrid w:val="0"/>
      <w:spacing w:before="40" w:after="40"/>
      <w:ind w:hanging="200" w:hangingChars="200"/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25">
    <w:name w:val="E-mail"/>
    <w:link w:val="26"/>
    <w:qFormat/>
    <w:uiPriority w:val="5"/>
    <w:rPr>
      <w:rFonts w:ascii="Times New Roman" w:hAnsi="Times New Roman" w:eastAsia="Times New Roman" w:cs="Times New Roman"/>
      <w:snapToGrid w:val="0"/>
      <w:color w:val="000000"/>
      <w:sz w:val="21"/>
      <w:szCs w:val="21"/>
      <w:lang w:val="en-US" w:eastAsia="de-DE" w:bidi="en-US"/>
    </w:rPr>
  </w:style>
  <w:style w:type="character" w:customStyle="1" w:styleId="26">
    <w:name w:val="E-mail 字符"/>
    <w:basedOn w:val="14"/>
    <w:link w:val="25"/>
    <w:qFormat/>
    <w:uiPriority w:val="5"/>
    <w:rPr>
      <w:rFonts w:ascii="Times New Roman" w:hAnsi="Times New Roman" w:eastAsia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27">
    <w:name w:val="Equation"/>
    <w:qFormat/>
    <w:uiPriority w:val="17"/>
    <w:pPr>
      <w:adjustRightInd w:val="0"/>
      <w:snapToGrid w:val="0"/>
      <w:spacing w:before="60" w:after="60"/>
      <w:ind w:left="709"/>
      <w:jc w:val="center"/>
    </w:pPr>
    <w:rPr>
      <w:rFonts w:ascii="Times New Roman" w:hAnsi="Times New Roman" w:eastAsia="Times New Roman" w:cs="Times New Roman"/>
      <w:snapToGrid w:val="0"/>
      <w:color w:val="000000"/>
      <w:sz w:val="21"/>
      <w:szCs w:val="21"/>
      <w:lang w:val="en-US" w:eastAsia="de-DE" w:bidi="en-US"/>
    </w:rPr>
  </w:style>
  <w:style w:type="paragraph" w:customStyle="1" w:styleId="28">
    <w:name w:val="Figure"/>
    <w:qFormat/>
    <w:uiPriority w:val="16"/>
    <w:pPr>
      <w:adjustRightInd w:val="0"/>
      <w:snapToGrid w:val="0"/>
      <w:jc w:val="center"/>
    </w:pPr>
    <w:rPr>
      <w:rFonts w:ascii="Times New Roman" w:hAnsi="Times New Roman" w:eastAsia="Times New Roman" w:cs="Times New Roman"/>
      <w:snapToGrid w:val="0"/>
      <w:color w:val="000000"/>
      <w:sz w:val="21"/>
      <w:szCs w:val="21"/>
      <w:lang w:val="en-US" w:eastAsia="de-DE" w:bidi="en-US"/>
    </w:rPr>
  </w:style>
  <w:style w:type="paragraph" w:customStyle="1" w:styleId="29">
    <w:name w:val="Figure caption"/>
    <w:qFormat/>
    <w:uiPriority w:val="16"/>
    <w:pPr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30">
    <w:name w:val="Figure title"/>
    <w:qFormat/>
    <w:uiPriority w:val="13"/>
    <w:pPr>
      <w:adjustRightInd w:val="0"/>
      <w:snapToGrid w:val="0"/>
      <w:spacing w:after="100" w:afterAutospacing="1"/>
      <w:jc w:val="center"/>
    </w:pPr>
    <w:rPr>
      <w:rFonts w:ascii="Times New Roman" w:hAnsi="Times New Roman" w:eastAsia="Times New Roman" w:cs="Times New Roman"/>
      <w:b/>
      <w:color w:val="000000"/>
      <w:sz w:val="21"/>
      <w:szCs w:val="21"/>
      <w:lang w:val="en-US" w:eastAsia="zh-CN" w:bidi="en-US"/>
    </w:rPr>
  </w:style>
  <w:style w:type="paragraph" w:customStyle="1" w:styleId="31">
    <w:name w:val="Keywords"/>
    <w:next w:val="1"/>
    <w:link w:val="32"/>
    <w:qFormat/>
    <w:uiPriority w:val="10"/>
    <w:pPr>
      <w:adjustRightInd w:val="0"/>
      <w:snapToGrid w:val="0"/>
      <w:jc w:val="both"/>
    </w:pPr>
    <w:rPr>
      <w:rFonts w:ascii="Times New Roman" w:hAnsi="Times New Roman" w:eastAsia="Times New Roman" w:cs="Times New Roman"/>
      <w:snapToGrid w:val="0"/>
      <w:color w:val="000000"/>
      <w:sz w:val="21"/>
      <w:szCs w:val="21"/>
      <w:lang w:val="en-US" w:eastAsia="de-DE" w:bidi="en-US"/>
    </w:rPr>
  </w:style>
  <w:style w:type="character" w:customStyle="1" w:styleId="32">
    <w:name w:val="Keywords 字符"/>
    <w:basedOn w:val="14"/>
    <w:link w:val="31"/>
    <w:qFormat/>
    <w:uiPriority w:val="10"/>
    <w:rPr>
      <w:rFonts w:ascii="Times New Roman" w:hAnsi="Times New Roman" w:eastAsia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33">
    <w:name w:val="Reference"/>
    <w:link w:val="34"/>
    <w:qFormat/>
    <w:uiPriority w:val="19"/>
    <w:pPr>
      <w:ind w:left="200" w:hanging="200" w:hangingChars="200"/>
      <w:jc w:val="both"/>
    </w:pPr>
    <w:rPr>
      <w:rFonts w:ascii="Times New Roman" w:hAnsi="Times New Roman" w:eastAsia="Times New Roman" w:cs="Times New Roman"/>
      <w:snapToGrid w:val="0"/>
      <w:color w:val="000000"/>
      <w:sz w:val="18"/>
      <w:szCs w:val="21"/>
      <w:lang w:val="en-US" w:eastAsia="de-DE" w:bidi="en-US"/>
    </w:rPr>
  </w:style>
  <w:style w:type="character" w:customStyle="1" w:styleId="34">
    <w:name w:val="Reference 字符"/>
    <w:basedOn w:val="32"/>
    <w:link w:val="33"/>
    <w:qFormat/>
    <w:uiPriority w:val="19"/>
    <w:rPr>
      <w:rFonts w:ascii="Times New Roman" w:hAnsi="Times New Roman" w:eastAsia="Times New Roman" w:cs="Times New Roman"/>
      <w:snapToGrid w:val="0"/>
      <w:color w:val="000000"/>
      <w:kern w:val="0"/>
      <w:sz w:val="18"/>
      <w:szCs w:val="21"/>
      <w:lang w:eastAsia="de-DE" w:bidi="en-US"/>
    </w:rPr>
  </w:style>
  <w:style w:type="paragraph" w:customStyle="1" w:styleId="35">
    <w:name w:val="Table body"/>
    <w:qFormat/>
    <w:uiPriority w:val="13"/>
    <w:pPr>
      <w:jc w:val="both"/>
    </w:pPr>
    <w:rPr>
      <w:rFonts w:ascii="Times New Roman" w:hAnsi="Times New Roman" w:eastAsia="Times New Roman" w:cs="Times New Roman"/>
      <w:snapToGrid w:val="0"/>
      <w:color w:val="000000"/>
      <w:sz w:val="21"/>
      <w:szCs w:val="21"/>
      <w:lang w:val="en-US" w:eastAsia="de-DE" w:bidi="en-US"/>
    </w:rPr>
  </w:style>
  <w:style w:type="paragraph" w:customStyle="1" w:styleId="36">
    <w:name w:val="Table caption"/>
    <w:qFormat/>
    <w:uiPriority w:val="14"/>
    <w:pPr>
      <w:adjustRightInd w:val="0"/>
      <w:snapToGrid w:val="0"/>
      <w:spacing w:before="100" w:beforeLines="100" w:after="100" w:afterLines="100"/>
      <w:jc w:val="center"/>
    </w:pPr>
    <w:rPr>
      <w:rFonts w:ascii="Times New Roman" w:hAnsi="Times New Roman" w:eastAsia="Times New Roman" w:cs="Times New Roman"/>
      <w:b/>
      <w:color w:val="000000"/>
      <w:sz w:val="21"/>
      <w:szCs w:val="24"/>
      <w:lang w:val="en-US" w:eastAsia="zh-CN" w:bidi="en-US"/>
    </w:rPr>
  </w:style>
  <w:style w:type="paragraph" w:customStyle="1" w:styleId="37">
    <w:name w:val="Table footer"/>
    <w:next w:val="1"/>
    <w:qFormat/>
    <w:uiPriority w:val="15"/>
    <w:pPr>
      <w:jc w:val="both"/>
    </w:pPr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paragraph" w:customStyle="1" w:styleId="38">
    <w:name w:val="Text"/>
    <w:link w:val="39"/>
    <w:qFormat/>
    <w:uiPriority w:val="12"/>
    <w:pPr>
      <w:ind w:firstLine="200" w:firstLineChars="200"/>
      <w:jc w:val="both"/>
    </w:pPr>
    <w:rPr>
      <w:rFonts w:ascii="Times New Roman" w:hAnsi="Times New Roman" w:eastAsia="Times New Roman" w:cs="Times New Roman"/>
      <w:snapToGrid w:val="0"/>
      <w:color w:val="000000"/>
      <w:sz w:val="21"/>
      <w:szCs w:val="28"/>
      <w:lang w:val="en-US" w:eastAsia="de-DE" w:bidi="en-US"/>
    </w:rPr>
  </w:style>
  <w:style w:type="character" w:customStyle="1" w:styleId="39">
    <w:name w:val="Text 字符"/>
    <w:basedOn w:val="14"/>
    <w:link w:val="38"/>
    <w:qFormat/>
    <w:uiPriority w:val="12"/>
    <w:rPr>
      <w:rFonts w:ascii="Times New Roman" w:hAnsi="Times New Roman" w:eastAsia="Times New Roman" w:cs="Times New Roman"/>
      <w:snapToGrid w:val="0"/>
      <w:color w:val="000000"/>
      <w:kern w:val="0"/>
      <w:szCs w:val="28"/>
      <w:lang w:eastAsia="de-DE" w:bidi="en-US"/>
    </w:rPr>
  </w:style>
  <w:style w:type="character" w:customStyle="1" w:styleId="40">
    <w:name w:val="批注框文本 字符"/>
    <w:link w:val="7"/>
    <w:semiHidden/>
    <w:qFormat/>
    <w:uiPriority w:val="99"/>
    <w:rPr>
      <w:rFonts w:ascii="Palatino Linotype" w:hAnsi="Palatino Linotype" w:eastAsia="宋体" w:cs="Tahoma"/>
      <w:color w:val="000000"/>
      <w:kern w:val="0"/>
      <w:sz w:val="20"/>
      <w:szCs w:val="18"/>
    </w:rPr>
  </w:style>
  <w:style w:type="character" w:customStyle="1" w:styleId="41">
    <w:name w:val="标题 1 字符"/>
    <w:basedOn w:val="14"/>
    <w:link w:val="2"/>
    <w:qFormat/>
    <w:uiPriority w:val="11"/>
    <w:rPr>
      <w:rFonts w:ascii="Times New Roman" w:hAnsi="Times New Roman" w:eastAsia="Times New Roman" w:cs="Times New Roman"/>
      <w:b/>
      <w:bCs/>
      <w:color w:val="000000"/>
      <w:kern w:val="44"/>
      <w:sz w:val="24"/>
      <w:szCs w:val="24"/>
    </w:rPr>
  </w:style>
  <w:style w:type="character" w:customStyle="1" w:styleId="42">
    <w:name w:val="标题 2 字符"/>
    <w:basedOn w:val="14"/>
    <w:link w:val="3"/>
    <w:qFormat/>
    <w:uiPriority w:val="11"/>
    <w:rPr>
      <w:rFonts w:ascii="Times New Roman" w:hAnsi="Times New Roman" w:eastAsia="Times New Roman" w:cs="Times New Roman"/>
      <w:b/>
      <w:bCs/>
      <w:i/>
      <w:color w:val="000000"/>
      <w:kern w:val="0"/>
      <w:szCs w:val="21"/>
    </w:rPr>
  </w:style>
  <w:style w:type="character" w:customStyle="1" w:styleId="43">
    <w:name w:val="标题 3 字符"/>
    <w:basedOn w:val="14"/>
    <w:link w:val="4"/>
    <w:qFormat/>
    <w:uiPriority w:val="11"/>
    <w:rPr>
      <w:rFonts w:ascii="Times New Roman" w:hAnsi="Times New Roman" w:eastAsia="Times New Roman" w:cs="Times New Roman"/>
      <w:bCs/>
      <w:i/>
      <w:color w:val="000000"/>
      <w:kern w:val="0"/>
      <w:szCs w:val="21"/>
    </w:rPr>
  </w:style>
  <w:style w:type="character" w:customStyle="1" w:styleId="44">
    <w:name w:val="尾注文本 字符"/>
    <w:link w:val="6"/>
    <w:semiHidden/>
    <w:qFormat/>
    <w:uiPriority w:val="0"/>
    <w:rPr>
      <w:rFonts w:ascii="Palatino Linotype" w:hAnsi="Palatino Linotype" w:eastAsia="宋体" w:cs="Times New Roman"/>
      <w:color w:val="000000"/>
      <w:kern w:val="0"/>
      <w:sz w:val="20"/>
      <w:szCs w:val="20"/>
    </w:rPr>
  </w:style>
  <w:style w:type="table" w:customStyle="1" w:styleId="45">
    <w:name w:val="无格式表格 41"/>
    <w:basedOn w:val="12"/>
    <w:qFormat/>
    <w:uiPriority w:val="44"/>
    <w:rPr>
      <w:rFonts w:ascii="Calibri" w:hAnsi="Calibri" w:eastAsia="宋体" w:cs="Times New Roman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character" w:customStyle="1" w:styleId="46">
    <w:name w:val="页脚 字符"/>
    <w:link w:val="8"/>
    <w:semiHidden/>
    <w:qFormat/>
    <w:uiPriority w:val="99"/>
    <w:rPr>
      <w:rFonts w:ascii="Palatino Linotype" w:hAnsi="Palatino Linotype" w:eastAsia="宋体" w:cs="Times New Roman"/>
      <w:color w:val="000000"/>
      <w:kern w:val="0"/>
      <w:sz w:val="20"/>
      <w:szCs w:val="18"/>
    </w:rPr>
  </w:style>
  <w:style w:type="character" w:customStyle="1" w:styleId="47">
    <w:name w:val="页眉 字符"/>
    <w:link w:val="9"/>
    <w:semiHidden/>
    <w:qFormat/>
    <w:uiPriority w:val="99"/>
    <w:rPr>
      <w:rFonts w:ascii="Palatino Linotype" w:hAnsi="Palatino Linotype" w:eastAsia="宋体" w:cs="Times New Roman"/>
      <w:color w:val="000000"/>
      <w:kern w:val="0"/>
      <w:sz w:val="20"/>
      <w:szCs w:val="18"/>
    </w:rPr>
  </w:style>
  <w:style w:type="character" w:styleId="48">
    <w:name w:val="Placeholder Text"/>
    <w:semiHidden/>
    <w:qFormat/>
    <w:uiPriority w:val="99"/>
    <w:rPr>
      <w:color w:val="808080"/>
    </w:rPr>
  </w:style>
  <w:style w:type="paragraph" w:customStyle="1" w:styleId="49">
    <w:name w:val="Back matter text"/>
    <w:link w:val="50"/>
    <w:qFormat/>
    <w:uiPriority w:val="19"/>
    <w:pPr>
      <w:ind w:firstLine="200" w:firstLineChars="200"/>
      <w:jc w:val="both"/>
    </w:pPr>
    <w:rPr>
      <w:rFonts w:ascii="Times New Roman" w:hAnsi="Times New Roman" w:eastAsia="Times New Roman" w:cs="Times New Roman"/>
      <w:snapToGrid w:val="0"/>
      <w:color w:val="000000"/>
      <w:sz w:val="21"/>
      <w:szCs w:val="22"/>
      <w:lang w:val="en-US" w:eastAsia="de-DE" w:bidi="en-US"/>
    </w:rPr>
  </w:style>
  <w:style w:type="character" w:customStyle="1" w:styleId="50">
    <w:name w:val="Back matter text 字符"/>
    <w:basedOn w:val="14"/>
    <w:link w:val="49"/>
    <w:qFormat/>
    <w:uiPriority w:val="19"/>
    <w:rPr>
      <w:rFonts w:ascii="Times New Roman" w:hAnsi="Times New Roman" w:eastAsia="Times New Roman" w:cs="Times New Roman"/>
      <w:snapToGrid w:val="0"/>
      <w:color w:val="000000"/>
      <w:kern w:val="0"/>
      <w:lang w:eastAsia="de-DE" w:bidi="en-US"/>
    </w:rPr>
  </w:style>
  <w:style w:type="paragraph" w:customStyle="1" w:styleId="51">
    <w:name w:val="Front matter"/>
    <w:qFormat/>
    <w:uiPriority w:val="8"/>
    <w:pPr>
      <w:spacing w:before="50" w:beforeLines="50" w:after="50" w:afterLines="50"/>
      <w:jc w:val="both"/>
    </w:pPr>
    <w:rPr>
      <w:rFonts w:ascii="Times New Roman" w:hAnsi="Times New Roman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52">
    <w:name w:val="History time"/>
    <w:next w:val="21"/>
    <w:qFormat/>
    <w:uiPriority w:val="7"/>
    <w:rPr>
      <w:rFonts w:ascii="Times New Roman" w:hAnsi="Times New Roman" w:eastAsia="Times New Roman" w:cs="Times New Roman"/>
      <w:color w:val="000000"/>
      <w:sz w:val="21"/>
      <w:szCs w:val="21"/>
      <w:lang w:val="en-US" w:eastAsia="de-DE" w:bidi="en-US"/>
    </w:rPr>
  </w:style>
  <w:style w:type="character" w:customStyle="1" w:styleId="53">
    <w:name w:val="批注文字 字符"/>
    <w:basedOn w:val="14"/>
    <w:link w:val="5"/>
    <w:qFormat/>
    <w:uiPriority w:val="20"/>
    <w:rPr>
      <w:rFonts w:ascii="Times New Roman" w:hAnsi="Times New Roman" w:eastAsia="Times New Roman" w:cs="Times New Roman"/>
      <w:kern w:val="0"/>
      <w:szCs w:val="21"/>
      <w:lang w:eastAsia="es-ES"/>
    </w:rPr>
  </w:style>
  <w:style w:type="paragraph" w:customStyle="1" w:styleId="54">
    <w:name w:val="表题"/>
    <w:basedOn w:val="1"/>
    <w:semiHidden/>
    <w:qFormat/>
    <w:uiPriority w:val="0"/>
    <w:pPr>
      <w:spacing w:before="312" w:beforeLines="100" w:after="312" w:afterLines="100"/>
      <w:jc w:val="center"/>
    </w:pPr>
    <w:rPr>
      <w:b/>
      <w:sz w:val="18"/>
    </w:rPr>
  </w:style>
  <w:style w:type="paragraph" w:customStyle="1" w:styleId="55">
    <w:name w:val="图注"/>
    <w:basedOn w:val="1"/>
    <w:semiHidden/>
    <w:qFormat/>
    <w:uiPriority w:val="0"/>
    <w:pPr>
      <w:adjustRightInd w:val="0"/>
      <w:snapToGrid w:val="0"/>
      <w:spacing w:line="288" w:lineRule="auto"/>
    </w:pPr>
    <w:rPr>
      <w:b/>
      <w:bCs/>
      <w:kern w:val="0"/>
      <w:sz w:val="18"/>
    </w:rPr>
  </w:style>
  <w:style w:type="character" w:customStyle="1" w:styleId="56">
    <w:name w:val="批注主题 字符"/>
    <w:basedOn w:val="53"/>
    <w:link w:val="11"/>
    <w:semiHidden/>
    <w:qFormat/>
    <w:uiPriority w:val="0"/>
    <w:rPr>
      <w:rFonts w:ascii="Calibri" w:hAnsi="Calibri" w:eastAsia="宋体" w:cs="Times New Roman"/>
      <w:b/>
      <w:bCs/>
      <w:kern w:val="0"/>
      <w:szCs w:val="24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514</Words>
  <Characters>3102</Characters>
  <Lines>25</Lines>
  <Paragraphs>7</Paragraphs>
  <TotalTime>73</TotalTime>
  <ScaleCrop>false</ScaleCrop>
  <LinksUpToDate>false</LinksUpToDate>
  <CharactersWithSpaces>3577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2026-05-08T07:57:00Z</dcterms:created>
  <dc:creator>Minnie</dc:creator>
  <cp:lastModifiedBy>张楠</cp:lastModifiedBy>
  <dcterms:modified xsi:type="dcterms:W3CDTF">2026-09-25T10:39:31Z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eyJoZGlkIjoiNmNjZTM1MDFjMzExNDU2NzczODQ3N2YzYWY2MmYxMWEiLCJ1c2VySWQiOiI0OTEzMzU2MzMifQ==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B3BE6ADABE0D472ABE1DF83D5D059137_13</vt:lpwstr>
  </property>
</Properties>
</file>